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8A4214">
        <w:rPr>
          <w:sz w:val="28"/>
        </w:rPr>
        <w:t>Eindeutig</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8A4214" w:rsidTr="008A4214">
        <w:tc>
          <w:tcPr>
            <w:tcW w:w="2466" w:type="dxa"/>
            <w:tcBorders>
              <w:top w:val="single" w:sz="4" w:space="0" w:color="auto"/>
            </w:tcBorders>
            <w:vAlign w:val="center"/>
          </w:tcPr>
          <w:p w:rsidR="008A4214" w:rsidRDefault="008A4214" w:rsidP="00C96D35">
            <w:pPr>
              <w:pStyle w:val="IQB-Merkmal"/>
            </w:pPr>
            <w:r>
              <w:t>Leitidee</w:t>
            </w:r>
          </w:p>
        </w:tc>
        <w:tc>
          <w:tcPr>
            <w:tcW w:w="6604" w:type="dxa"/>
            <w:tcBorders>
              <w:top w:val="single" w:sz="4" w:space="0" w:color="auto"/>
            </w:tcBorders>
          </w:tcPr>
          <w:p w:rsidR="008A4214" w:rsidRDefault="008A4214" w:rsidP="00C96D35">
            <w:pPr>
              <w:pStyle w:val="IQB-Merkmalswert"/>
            </w:pPr>
            <w:r>
              <w:t>4. Funktionaler Zusammenhang</w:t>
            </w:r>
          </w:p>
        </w:tc>
      </w:tr>
      <w:tr w:rsidR="008A4214" w:rsidTr="008A4214">
        <w:tc>
          <w:tcPr>
            <w:tcW w:w="2466" w:type="dxa"/>
            <w:vAlign w:val="center"/>
          </w:tcPr>
          <w:p w:rsidR="008A4214" w:rsidRDefault="008A4214" w:rsidP="00C96D35">
            <w:pPr>
              <w:pStyle w:val="IQB-Merkmal"/>
            </w:pPr>
            <w:r>
              <w:t>Allgemeine Kompetenz</w:t>
            </w:r>
          </w:p>
        </w:tc>
        <w:tc>
          <w:tcPr>
            <w:tcW w:w="6604" w:type="dxa"/>
          </w:tcPr>
          <w:p w:rsidR="008A4214" w:rsidRDefault="008A4214" w:rsidP="00C96D35">
            <w:pPr>
              <w:pStyle w:val="IQB-Merkmalswert"/>
            </w:pPr>
            <w:r w:rsidRPr="00723CAD">
              <w:t>Probleme mathematisch lösen (K2)</w:t>
            </w:r>
            <w:r>
              <w:t>,</w:t>
            </w:r>
          </w:p>
          <w:p w:rsidR="008A4214" w:rsidRDefault="008A4214" w:rsidP="00C96D35">
            <w:pPr>
              <w:pStyle w:val="IQB-Merkmalswert"/>
            </w:pPr>
            <w:r w:rsidRPr="00723CAD">
              <w:t>Mit Mathematik symbolisch/ formal/ technisch umgehen (K5)</w:t>
            </w:r>
          </w:p>
        </w:tc>
      </w:tr>
      <w:tr w:rsidR="008A4214" w:rsidTr="008A4214">
        <w:tc>
          <w:tcPr>
            <w:tcW w:w="2466" w:type="dxa"/>
            <w:vAlign w:val="center"/>
          </w:tcPr>
          <w:p w:rsidR="008A4214" w:rsidRDefault="008A4214" w:rsidP="00C96D35">
            <w:pPr>
              <w:pStyle w:val="IQB-Merkmal"/>
            </w:pPr>
            <w:r>
              <w:t>Anforderungsbereich</w:t>
            </w:r>
          </w:p>
        </w:tc>
        <w:tc>
          <w:tcPr>
            <w:tcW w:w="6604" w:type="dxa"/>
          </w:tcPr>
          <w:p w:rsidR="008A4214" w:rsidRDefault="008A4214" w:rsidP="00C96D35">
            <w:pPr>
              <w:pStyle w:val="IQB-Merkmalswert"/>
            </w:pPr>
            <w:r>
              <w:t>II</w:t>
            </w:r>
          </w:p>
        </w:tc>
      </w:tr>
      <w:tr w:rsidR="008A4214" w:rsidTr="008A4214">
        <w:tc>
          <w:tcPr>
            <w:tcW w:w="2466" w:type="dxa"/>
            <w:tcBorders>
              <w:bottom w:val="single" w:sz="4" w:space="0" w:color="auto"/>
            </w:tcBorders>
            <w:vAlign w:val="center"/>
          </w:tcPr>
          <w:p w:rsidR="008A4214" w:rsidRDefault="008A4214" w:rsidP="00C96D35">
            <w:pPr>
              <w:pStyle w:val="IQB-Merkmal"/>
            </w:pPr>
            <w:r>
              <w:t>Kompetenzstufe</w:t>
            </w:r>
          </w:p>
        </w:tc>
        <w:tc>
          <w:tcPr>
            <w:tcW w:w="6604" w:type="dxa"/>
            <w:tcBorders>
              <w:bottom w:val="single" w:sz="4" w:space="0" w:color="auto"/>
            </w:tcBorders>
          </w:tcPr>
          <w:p w:rsidR="008A4214" w:rsidRDefault="008A4214" w:rsidP="00C96D35">
            <w:pPr>
              <w:pStyle w:val="IQB-Merkmalswert"/>
            </w:pPr>
            <w:r>
              <w:t>3</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8A4214" w:rsidTr="008A4214">
        <w:tc>
          <w:tcPr>
            <w:tcW w:w="2466" w:type="dxa"/>
            <w:tcBorders>
              <w:top w:val="single" w:sz="4" w:space="0" w:color="auto"/>
            </w:tcBorders>
            <w:vAlign w:val="center"/>
          </w:tcPr>
          <w:p w:rsidR="008A4214" w:rsidRDefault="008A4214" w:rsidP="00C96D35">
            <w:pPr>
              <w:pStyle w:val="IQB-Merkmal"/>
            </w:pPr>
            <w:r>
              <w:t>Leitidee</w:t>
            </w:r>
          </w:p>
        </w:tc>
        <w:tc>
          <w:tcPr>
            <w:tcW w:w="6604" w:type="dxa"/>
            <w:tcBorders>
              <w:top w:val="single" w:sz="4" w:space="0" w:color="auto"/>
            </w:tcBorders>
          </w:tcPr>
          <w:p w:rsidR="008A4214" w:rsidRDefault="008A4214" w:rsidP="00C96D35">
            <w:pPr>
              <w:pStyle w:val="IQB-Merkmalswert"/>
            </w:pPr>
            <w:r>
              <w:t>4. Funktionaler Zusammenhang</w:t>
            </w:r>
          </w:p>
        </w:tc>
      </w:tr>
      <w:tr w:rsidR="008A4214" w:rsidTr="008A4214">
        <w:tc>
          <w:tcPr>
            <w:tcW w:w="2466" w:type="dxa"/>
            <w:vAlign w:val="center"/>
          </w:tcPr>
          <w:p w:rsidR="008A4214" w:rsidRDefault="008A4214" w:rsidP="00C96D35">
            <w:pPr>
              <w:pStyle w:val="IQB-Merkmal"/>
            </w:pPr>
            <w:r>
              <w:t>Allgemeine Kompetenz</w:t>
            </w:r>
          </w:p>
        </w:tc>
        <w:tc>
          <w:tcPr>
            <w:tcW w:w="6604" w:type="dxa"/>
          </w:tcPr>
          <w:p w:rsidR="008A4214" w:rsidRDefault="008A4214" w:rsidP="00C96D35">
            <w:pPr>
              <w:pStyle w:val="IQB-Merkmalswert"/>
            </w:pPr>
            <w:r w:rsidRPr="00723CAD">
              <w:t>Probleme mathematisch lösen (K2)</w:t>
            </w:r>
          </w:p>
        </w:tc>
      </w:tr>
      <w:tr w:rsidR="008A4214" w:rsidTr="008A4214">
        <w:tc>
          <w:tcPr>
            <w:tcW w:w="2466" w:type="dxa"/>
            <w:vAlign w:val="center"/>
          </w:tcPr>
          <w:p w:rsidR="008A4214" w:rsidRDefault="008A4214" w:rsidP="00C96D35">
            <w:pPr>
              <w:pStyle w:val="IQB-Merkmal"/>
            </w:pPr>
            <w:r>
              <w:t>Anforderungsbereich</w:t>
            </w:r>
          </w:p>
        </w:tc>
        <w:tc>
          <w:tcPr>
            <w:tcW w:w="6604" w:type="dxa"/>
          </w:tcPr>
          <w:p w:rsidR="008A4214" w:rsidRDefault="008A4214" w:rsidP="00C96D35">
            <w:pPr>
              <w:pStyle w:val="IQB-Merkmalswert"/>
            </w:pPr>
            <w:r>
              <w:t>III</w:t>
            </w:r>
          </w:p>
        </w:tc>
      </w:tr>
      <w:tr w:rsidR="008A4214" w:rsidTr="008A4214">
        <w:tc>
          <w:tcPr>
            <w:tcW w:w="2466" w:type="dxa"/>
            <w:tcBorders>
              <w:bottom w:val="single" w:sz="4" w:space="0" w:color="auto"/>
            </w:tcBorders>
            <w:vAlign w:val="center"/>
          </w:tcPr>
          <w:p w:rsidR="008A4214" w:rsidRDefault="008A4214" w:rsidP="00C96D35">
            <w:pPr>
              <w:pStyle w:val="IQB-Merkmal"/>
            </w:pPr>
            <w:r>
              <w:t>Kompetenzstufe</w:t>
            </w:r>
          </w:p>
        </w:tc>
        <w:tc>
          <w:tcPr>
            <w:tcW w:w="6604" w:type="dxa"/>
            <w:tcBorders>
              <w:bottom w:val="single" w:sz="4" w:space="0" w:color="auto"/>
            </w:tcBorders>
          </w:tcPr>
          <w:p w:rsidR="008A4214" w:rsidRDefault="008A4214" w:rsidP="00C96D35">
            <w:pPr>
              <w:pStyle w:val="IQB-Merkmalswert"/>
            </w:pPr>
            <w:r>
              <w:t>4</w:t>
            </w:r>
          </w:p>
        </w:tc>
      </w:tr>
    </w:tbl>
    <w:p w:rsidR="00694A63" w:rsidRPr="00694A63" w:rsidRDefault="00694A63" w:rsidP="00694A63">
      <w:pPr>
        <w:pStyle w:val="IQB-Teilaufgabentitel"/>
        <w:rPr>
          <w:b/>
        </w:rPr>
      </w:pPr>
      <w:r w:rsidRPr="00694A63">
        <w:rPr>
          <w:b/>
        </w:rPr>
        <w:t>Aufgabenbezogener Kommentar</w:t>
      </w:r>
    </w:p>
    <w:p w:rsidR="008A4214" w:rsidRPr="001A2A43" w:rsidRDefault="008A4214" w:rsidP="008A4214">
      <w:pPr>
        <w:pStyle w:val="IQB-Standard"/>
        <w:rPr>
          <w:sz w:val="22"/>
          <w:szCs w:val="22"/>
        </w:rPr>
      </w:pPr>
      <w:r w:rsidRPr="001A2A43">
        <w:rPr>
          <w:sz w:val="22"/>
          <w:szCs w:val="22"/>
        </w:rPr>
        <w:t>Diese Aufgabe wird der Leitidee Funktionaler Zusammenhang zugeordnet (L4), weil die Schülerinnen und Schüler hier Aussagen über die Lösbarkeit bzw. Lösungsvielfalt linearer Gleichungen treffen sollen.</w:t>
      </w:r>
    </w:p>
    <w:p w:rsidR="008A4214" w:rsidRPr="001A2A43" w:rsidRDefault="008A4214" w:rsidP="008A4214">
      <w:pPr>
        <w:pStyle w:val="IQB-Standard"/>
        <w:rPr>
          <w:sz w:val="22"/>
          <w:szCs w:val="22"/>
        </w:rPr>
      </w:pPr>
      <w:r w:rsidRPr="001A2A43">
        <w:rPr>
          <w:sz w:val="22"/>
          <w:szCs w:val="22"/>
        </w:rPr>
        <w:t>In der Teilaufgabe1 sind drei lineare Gleichungen gegeben und es soll jeweils beurteilt werden, ob diese eine oder keine Lösung besitzen. Die Lernenden können hierzu nicht auf ein einfaches Standardverfahren zurückgreifen, sondern müssen eine eigene Strategie entwickeln (K2). Mit Äquivalenzumformungen lassen sich etwa alle Summanden mit x auf eine Seite bringen (K5). Sollte hierbei ein Widerspruch entstehen, hat die Gleichung keine Lösung.</w:t>
      </w:r>
    </w:p>
    <w:p w:rsidR="008A4214" w:rsidRPr="001A2A43" w:rsidRDefault="008A4214" w:rsidP="008A4214">
      <w:pPr>
        <w:pStyle w:val="IQB-Standard"/>
        <w:rPr>
          <w:sz w:val="22"/>
          <w:szCs w:val="22"/>
        </w:rPr>
      </w:pPr>
      <w:r w:rsidRPr="001A2A43">
        <w:rPr>
          <w:sz w:val="22"/>
          <w:szCs w:val="22"/>
        </w:rPr>
        <w:t>Die Fragestellung aus der ersten Teilaufgabe wird inTeilaufgabe2gewissermaßen umgekehrt. Die Lernenden sollen selbst eine Gleichung angeben, die unendlich viele Lösungen besitzt. Hierbei wird ihnen zwar der Hinweis gegeben, dass für jedes Argument eine wahre Aussage entstehen soll. Letztlich müssen die Schülerinnen und Schüler aber selbst einen Weg finden, um diese Forderung zu erfüllen (K2).Dabei wird davon gesprochen, dass man in eine Gleichung mit unendlich vielen Lösungen jede beliebige Zahl einsetzen kann. Dies gilt nicht allgemein, aber in diesem Kontext linearer Gleichungen mit einer Variablen.</w:t>
      </w:r>
    </w:p>
    <w:p w:rsidR="008A4214" w:rsidRPr="001A2A43" w:rsidRDefault="008A4214" w:rsidP="008A4214">
      <w:pPr>
        <w:pStyle w:val="IQB-Standard"/>
        <w:rPr>
          <w:sz w:val="22"/>
          <w:szCs w:val="22"/>
        </w:rPr>
      </w:pPr>
      <w:r w:rsidRPr="001A2A43">
        <w:rPr>
          <w:sz w:val="22"/>
          <w:szCs w:val="22"/>
        </w:rPr>
        <w:t>In der ersten Teilaufgabe müssen die Lernenden selbstständig Zusammenhänge zwischen algebraischen Eigenschaften einer linearen Gleichung und deren Lösbarkeit herstellen. Hierzu können sie auf bekannte Rechenstrategien zurückgreifen (AB II). Die Problemstellung in der zweiten Teilaufgabe stellt im Hinblick auf das Problemlösen höhere kognitive Anforderungen und wird dem Anforderungsbereich III zugeordnet.</w:t>
      </w:r>
    </w:p>
    <w:p w:rsidR="00694A63" w:rsidRPr="00694A63" w:rsidRDefault="00694A63" w:rsidP="00694A63">
      <w:pPr>
        <w:pStyle w:val="IQB-Teilaufgabentitel"/>
        <w:rPr>
          <w:b/>
        </w:rPr>
      </w:pPr>
      <w:r w:rsidRPr="00694A63">
        <w:rPr>
          <w:b/>
        </w:rPr>
        <w:t>Anregungen für den Unterricht</w:t>
      </w:r>
    </w:p>
    <w:p w:rsidR="008A4214" w:rsidRPr="008A4214" w:rsidRDefault="008A4214" w:rsidP="008A4214">
      <w:pPr>
        <w:pStyle w:val="IQB-Standard"/>
        <w:rPr>
          <w:sz w:val="22"/>
          <w:szCs w:val="22"/>
        </w:rPr>
      </w:pPr>
      <w:r w:rsidRPr="001A2A43">
        <w:rPr>
          <w:sz w:val="22"/>
          <w:szCs w:val="22"/>
        </w:rPr>
        <w:t xml:space="preserve">Beide Teilaufgaben heben auf Lösungsmengen linearer Gleichungen ab. Dies ist insofern interessant, da im Unterricht </w:t>
      </w:r>
      <w:proofErr w:type="spellStart"/>
      <w:r w:rsidRPr="001A2A43">
        <w:rPr>
          <w:sz w:val="22"/>
          <w:szCs w:val="22"/>
        </w:rPr>
        <w:t>gerade zu</w:t>
      </w:r>
      <w:proofErr w:type="spellEnd"/>
      <w:r w:rsidRPr="001A2A43">
        <w:rPr>
          <w:sz w:val="22"/>
          <w:szCs w:val="22"/>
        </w:rPr>
        <w:t xml:space="preserve"> linearen Gleichungen häufig nur der Fall der eindeutigen Lösbarkeit behandelt wird. Beim Lernenden könnte dadurch eine verkürzte oder gar falsche Sicht entstehen, dass Lösungsmengen immer nur ein Element haben. In diesen Fällen und im Fall von linearen Gleichungen bzw. Gleichungssystemen mit zwei Unbekannten können sehr gut graphische Visualisierungen der Gleichungen als Geraden verwendet werden, um die unterschiedlichen Typen von Lösungsmengen herauszustellen. </w:t>
      </w:r>
      <w:bookmarkStart w:id="0" w:name="_GoBack"/>
      <w:bookmarkEnd w:id="0"/>
    </w:p>
    <w:p w:rsidR="00694A63" w:rsidRPr="008A4214" w:rsidRDefault="008A4214" w:rsidP="008A4214">
      <w:pPr>
        <w:spacing w:before="60"/>
        <w:rPr>
          <w:rFonts w:ascii="Arial" w:hAnsi="Arial" w:cs="Arial"/>
          <w:sz w:val="22"/>
          <w:szCs w:val="22"/>
        </w:rPr>
      </w:pPr>
      <w:r w:rsidRPr="008A4214">
        <w:rPr>
          <w:rFonts w:ascii="Arial" w:hAnsi="Arial" w:cs="Arial"/>
          <w:sz w:val="22"/>
          <w:szCs w:val="22"/>
        </w:rPr>
        <w:t>Es empfiehlt sich, an die so aufgebaute Vorstellung in der Sekundarstufe II anzuknüpfen, indem der Zusammenhang zwischen algebraischer Berechnung und geometrischer Darstellung von Lösungsmengen linearer Gleichungen bzw. Gleichungssystemen auch für drei Unbekannte verdeutlicht wird</w:t>
      </w:r>
      <w:r w:rsidR="005B2F65" w:rsidRPr="008A4214">
        <w:rPr>
          <w:rFonts w:ascii="Arial" w:hAnsi="Arial" w:cs="Arial"/>
          <w:noProof/>
          <w:sz w:val="22"/>
          <w:szCs w:val="22"/>
        </w:rPr>
        <w:t>.</w:t>
      </w:r>
    </w:p>
    <w:sectPr w:rsidR="00694A63" w:rsidRPr="008A4214"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42758FC2-A0C3-4477-82EF-189425AC1DF3}"/>
    <w:embedBold r:id="rId2" w:fontKey="{9995B8BA-61A0-4A97-BD87-BF91FC0F4064}"/>
    <w:embedBoldItalic r:id="rId3" w:fontKey="{0A48F1F7-8F61-4BB0-98A6-D186B067B4AC}"/>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2"/>
  </w:num>
  <w:num w:numId="3">
    <w:abstractNumId w:val="0"/>
  </w:num>
  <w:num w:numId="4">
    <w:abstractNumId w:val="9"/>
  </w:num>
  <w:num w:numId="5">
    <w:abstractNumId w:val="5"/>
  </w:num>
  <w:num w:numId="6">
    <w:abstractNumId w:val="7"/>
  </w:num>
  <w:num w:numId="7">
    <w:abstractNumId w:val="3"/>
  </w:num>
  <w:num w:numId="8">
    <w:abstractNumId w:val="1"/>
  </w:num>
  <w:num w:numId="9">
    <w:abstractNumId w:val="4"/>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880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A421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8065"/>
    <o:shapelayout v:ext="edit">
      <o:idmap v:ext="edit" data="1"/>
    </o:shapelayout>
  </w:shapeDefaults>
  <w:decimalSymbol w:val=","/>
  <w:listSeparator w:val=";"/>
  <w14:docId w14:val="47C59720"/>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14D149-D78D-4C74-9D4B-F2A551E2A0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384</Words>
  <Characters>2634</Characters>
  <Application>Microsoft Office Word</Application>
  <DocSecurity>0</DocSecurity>
  <Lines>219</Lines>
  <Paragraphs>177</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2025-06-03T15:15:00Z</dcterms:created>
  <dcterms:modified xsi:type="dcterms:W3CDTF">2025-06-03T15:15:00Z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